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60" w:rsidRPr="002B52B4" w:rsidRDefault="00AD6E60" w:rsidP="00AD6E60">
      <w:pPr>
        <w:spacing w:line="360" w:lineRule="auto"/>
        <w:rPr>
          <w:rFonts w:asciiTheme="majorHAnsi" w:hAnsiTheme="majorHAnsi" w:cs="Helvetica"/>
          <w:color w:val="252525"/>
        </w:rPr>
      </w:pPr>
      <w:r w:rsidRPr="002B52B4">
        <w:rPr>
          <w:rFonts w:asciiTheme="majorHAnsi" w:hAnsiTheme="majorHAnsi" w:cs="Helvetica"/>
          <w:b/>
          <w:color w:val="252525"/>
          <w:highlight w:val="lightGray"/>
        </w:rPr>
        <w:t>Original article:</w:t>
      </w:r>
      <w:r>
        <w:rPr>
          <w:rFonts w:asciiTheme="majorHAnsi" w:hAnsiTheme="majorHAnsi" w:cs="Helvetica"/>
          <w:b/>
          <w:color w:val="252525"/>
        </w:rPr>
        <w:t xml:space="preserve"> </w:t>
      </w:r>
    </w:p>
    <w:p w:rsidR="00AD6E60" w:rsidRPr="002B52B4" w:rsidRDefault="00AD6E60" w:rsidP="00AD6E60">
      <w:pPr>
        <w:spacing w:line="360" w:lineRule="auto"/>
        <w:rPr>
          <w:rFonts w:asciiTheme="majorHAnsi" w:hAnsiTheme="majorHAnsi"/>
          <w:b/>
          <w:bCs/>
          <w:color w:val="4F81BD" w:themeColor="accent1"/>
          <w:shd w:val="clear" w:color="auto" w:fill="F9F9F9"/>
        </w:rPr>
      </w:pPr>
      <w:r w:rsidRPr="002B52B4">
        <w:rPr>
          <w:rFonts w:asciiTheme="majorHAnsi" w:hAnsiTheme="majorHAnsi"/>
          <w:b/>
          <w:bCs/>
          <w:color w:val="4F81BD" w:themeColor="accent1"/>
          <w:shd w:val="clear" w:color="auto" w:fill="F9F9F9"/>
        </w:rPr>
        <w:t>Determination of reference limit and evaluation of precision to measure Total Antioxidant Capacity (TAC) by Ferric Reducing Antioxidant Power (FRAP) method</w:t>
      </w:r>
    </w:p>
    <w:p w:rsidR="00AD6E60" w:rsidRPr="002B52B4" w:rsidRDefault="00AD6E60" w:rsidP="00AD6E60">
      <w:pPr>
        <w:spacing w:line="360" w:lineRule="auto"/>
        <w:rPr>
          <w:rFonts w:asciiTheme="majorHAnsi" w:hAnsiTheme="majorHAnsi"/>
          <w:sz w:val="20"/>
          <w:szCs w:val="20"/>
          <w:shd w:val="clear" w:color="auto" w:fill="F9F9F9"/>
        </w:rPr>
      </w:pPr>
    </w:p>
    <w:p w:rsidR="00AD6E60" w:rsidRPr="002B52B4" w:rsidRDefault="00AD6E60" w:rsidP="00AD6E60">
      <w:pPr>
        <w:spacing w:line="360" w:lineRule="auto"/>
        <w:rPr>
          <w:rFonts w:asciiTheme="majorHAnsi" w:hAnsiTheme="majorHAnsi"/>
          <w:b/>
          <w:sz w:val="20"/>
          <w:szCs w:val="20"/>
          <w:shd w:val="clear" w:color="auto" w:fill="F9F9F9"/>
          <w:lang w:val="it-IT"/>
        </w:rPr>
      </w:pPr>
      <w:r w:rsidRPr="002B52B4">
        <w:rPr>
          <w:rFonts w:asciiTheme="majorHAnsi" w:hAnsiTheme="majorHAnsi"/>
          <w:b/>
          <w:sz w:val="20"/>
          <w:szCs w:val="20"/>
          <w:shd w:val="clear" w:color="auto" w:fill="F9F9F9"/>
          <w:lang w:val="it-IT"/>
        </w:rPr>
        <w:t>*Soma Gupta</w:t>
      </w:r>
      <w:r w:rsidRPr="002B52B4">
        <w:rPr>
          <w:rFonts w:asciiTheme="majorHAnsi" w:hAnsiTheme="majorHAnsi"/>
          <w:b/>
          <w:sz w:val="20"/>
          <w:szCs w:val="20"/>
          <w:shd w:val="clear" w:color="auto" w:fill="F9F9F9"/>
          <w:vertAlign w:val="superscript"/>
          <w:lang w:val="it-IT"/>
        </w:rPr>
        <w:t>1</w:t>
      </w:r>
      <w:r w:rsidRPr="002B52B4">
        <w:rPr>
          <w:rFonts w:asciiTheme="majorHAnsi" w:hAnsiTheme="majorHAnsi"/>
          <w:b/>
          <w:sz w:val="20"/>
          <w:szCs w:val="20"/>
          <w:shd w:val="clear" w:color="auto" w:fill="F9F9F9"/>
          <w:lang w:val="it-IT"/>
        </w:rPr>
        <w:t>, Sanjoy Kunti</w:t>
      </w:r>
      <w:r w:rsidRPr="002B52B4">
        <w:rPr>
          <w:rFonts w:asciiTheme="majorHAnsi" w:hAnsiTheme="majorHAnsi"/>
          <w:b/>
          <w:sz w:val="20"/>
          <w:szCs w:val="20"/>
          <w:shd w:val="clear" w:color="auto" w:fill="F9F9F9"/>
          <w:vertAlign w:val="superscript"/>
          <w:lang w:val="it-IT"/>
        </w:rPr>
        <w:t>2</w:t>
      </w:r>
      <w:r w:rsidRPr="002B52B4">
        <w:rPr>
          <w:rFonts w:asciiTheme="majorHAnsi" w:hAnsiTheme="majorHAnsi"/>
          <w:b/>
          <w:sz w:val="20"/>
          <w:szCs w:val="20"/>
          <w:shd w:val="clear" w:color="auto" w:fill="F9F9F9"/>
          <w:lang w:val="it-IT"/>
        </w:rPr>
        <w:t>, Ranjana Mondal</w:t>
      </w:r>
      <w:r w:rsidRPr="002B52B4">
        <w:rPr>
          <w:rFonts w:asciiTheme="majorHAnsi" w:hAnsiTheme="majorHAnsi"/>
          <w:b/>
          <w:sz w:val="20"/>
          <w:szCs w:val="20"/>
          <w:shd w:val="clear" w:color="auto" w:fill="F9F9F9"/>
          <w:vertAlign w:val="superscript"/>
          <w:lang w:val="it-IT"/>
        </w:rPr>
        <w:t>3</w:t>
      </w:r>
      <w:r w:rsidRPr="002B52B4">
        <w:rPr>
          <w:rFonts w:asciiTheme="majorHAnsi" w:hAnsiTheme="majorHAnsi"/>
          <w:b/>
          <w:sz w:val="20"/>
          <w:szCs w:val="20"/>
          <w:shd w:val="clear" w:color="auto" w:fill="F9F9F9"/>
          <w:lang w:val="it-IT"/>
        </w:rPr>
        <w:t>, Pallab Basu</w:t>
      </w:r>
      <w:r w:rsidRPr="002B52B4">
        <w:rPr>
          <w:rFonts w:asciiTheme="majorHAnsi" w:hAnsiTheme="majorHAnsi"/>
          <w:b/>
          <w:sz w:val="20"/>
          <w:szCs w:val="20"/>
          <w:shd w:val="clear" w:color="auto" w:fill="F9F9F9"/>
          <w:vertAlign w:val="superscript"/>
          <w:lang w:val="it-IT"/>
        </w:rPr>
        <w:t>4</w:t>
      </w:r>
      <w:r w:rsidRPr="002B52B4">
        <w:rPr>
          <w:rFonts w:asciiTheme="majorHAnsi" w:hAnsiTheme="majorHAnsi"/>
          <w:b/>
          <w:sz w:val="20"/>
          <w:szCs w:val="20"/>
          <w:shd w:val="clear" w:color="auto" w:fill="F9F9F9"/>
          <w:lang w:val="it-IT"/>
        </w:rPr>
        <w:t>, Kanika Mandi Chowdhury</w:t>
      </w:r>
      <w:r w:rsidRPr="002B52B4">
        <w:rPr>
          <w:rFonts w:asciiTheme="majorHAnsi" w:hAnsiTheme="majorHAnsi"/>
          <w:b/>
          <w:sz w:val="20"/>
          <w:szCs w:val="20"/>
          <w:shd w:val="clear" w:color="auto" w:fill="F9F9F9"/>
          <w:vertAlign w:val="superscript"/>
          <w:lang w:val="it-IT"/>
        </w:rPr>
        <w:t>5</w:t>
      </w:r>
      <w:r w:rsidRPr="002B52B4">
        <w:rPr>
          <w:rFonts w:asciiTheme="majorHAnsi" w:hAnsiTheme="majorHAnsi"/>
          <w:b/>
          <w:sz w:val="20"/>
          <w:szCs w:val="20"/>
          <w:shd w:val="clear" w:color="auto" w:fill="F9F9F9"/>
          <w:lang w:val="it-IT"/>
        </w:rPr>
        <w:t>, Rumi Gayen</w:t>
      </w:r>
      <w:r w:rsidRPr="002B52B4">
        <w:rPr>
          <w:rFonts w:asciiTheme="majorHAnsi" w:hAnsiTheme="majorHAnsi"/>
          <w:b/>
          <w:sz w:val="20"/>
          <w:szCs w:val="20"/>
          <w:shd w:val="clear" w:color="auto" w:fill="F9F9F9"/>
          <w:vertAlign w:val="superscript"/>
          <w:lang w:val="it-IT"/>
        </w:rPr>
        <w:t>6</w:t>
      </w:r>
    </w:p>
    <w:p w:rsidR="00AD6E60" w:rsidRPr="002B52B4" w:rsidRDefault="00AD6E60" w:rsidP="00AD6E60">
      <w:pPr>
        <w:spacing w:line="360" w:lineRule="auto"/>
        <w:rPr>
          <w:rFonts w:asciiTheme="majorHAnsi" w:hAnsiTheme="majorHAnsi"/>
          <w:sz w:val="20"/>
          <w:szCs w:val="20"/>
          <w:shd w:val="clear" w:color="auto" w:fill="F9F9F9"/>
          <w:lang w:val="it-IT"/>
        </w:rPr>
      </w:pPr>
    </w:p>
    <w:p w:rsidR="00AD6E60" w:rsidRPr="002B52B4" w:rsidRDefault="00AD6E60" w:rsidP="00AD6E60">
      <w:pP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vertAlign w:val="superscript"/>
          <w:lang w:val="it-IT"/>
        </w:rPr>
        <w:t>1</w:t>
      </w:r>
      <w:r w:rsidRPr="002B52B4">
        <w:rPr>
          <w:rFonts w:asciiTheme="majorHAnsi" w:hAnsiTheme="majorHAnsi"/>
          <w:sz w:val="16"/>
          <w:szCs w:val="16"/>
          <w:shd w:val="clear" w:color="auto" w:fill="F9F9F9"/>
          <w:lang w:val="it-IT"/>
        </w:rPr>
        <w:t xml:space="preserve"> Professor &amp; Head, Department of Biochemistry, College of Medicine &amp; Sagore Dutta Hospital, Kolkatta, West Bengal, India</w:t>
      </w:r>
    </w:p>
    <w:p w:rsidR="00AD6E60" w:rsidRPr="002B52B4" w:rsidRDefault="00AD6E60" w:rsidP="00AD6E60">
      <w:pP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vertAlign w:val="superscript"/>
          <w:lang w:val="it-IT"/>
        </w:rPr>
        <w:t>2</w:t>
      </w:r>
      <w:r w:rsidRPr="002B52B4">
        <w:rPr>
          <w:rFonts w:asciiTheme="majorHAnsi" w:hAnsiTheme="majorHAnsi"/>
          <w:sz w:val="16"/>
          <w:szCs w:val="16"/>
          <w:shd w:val="clear" w:color="auto" w:fill="F9F9F9"/>
          <w:lang w:val="it-IT"/>
        </w:rPr>
        <w:t>Assistant Professor, Department of Biochemistry, College of Medicine &amp; Sagore Dutta Hospital, Kolkatta, West Bengal, India</w:t>
      </w:r>
    </w:p>
    <w:p w:rsidR="00AD6E60" w:rsidRPr="002B52B4" w:rsidRDefault="00AD6E60" w:rsidP="00AD6E60">
      <w:pP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vertAlign w:val="superscript"/>
          <w:lang w:val="it-IT"/>
        </w:rPr>
        <w:t>3</w:t>
      </w:r>
      <w:r w:rsidRPr="002B52B4">
        <w:rPr>
          <w:rFonts w:asciiTheme="majorHAnsi" w:hAnsiTheme="majorHAnsi"/>
          <w:sz w:val="16"/>
          <w:szCs w:val="16"/>
          <w:shd w:val="clear" w:color="auto" w:fill="F9F9F9"/>
          <w:lang w:val="it-IT"/>
        </w:rPr>
        <w:t>Associate Professor, Department of Physiology, College of Medicine &amp; Sagore Dutta Hospital, Kolkatta, West Bengal, India</w:t>
      </w:r>
    </w:p>
    <w:p w:rsidR="00AD6E60" w:rsidRPr="002B52B4" w:rsidRDefault="00AD6E60" w:rsidP="00AD6E60">
      <w:pP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vertAlign w:val="superscript"/>
          <w:lang w:val="it-IT"/>
        </w:rPr>
        <w:t>4</w:t>
      </w:r>
      <w:r w:rsidRPr="002B52B4">
        <w:rPr>
          <w:rFonts w:asciiTheme="majorHAnsi" w:hAnsiTheme="majorHAnsi"/>
          <w:sz w:val="16"/>
          <w:szCs w:val="16"/>
          <w:shd w:val="clear" w:color="auto" w:fill="F9F9F9"/>
          <w:lang w:val="it-IT"/>
        </w:rPr>
        <w:t>Assistant Professor, Department of Biochemistry, College of Medicine &amp; Sagore Dutta Hospital, Kolkatta, West Bengal, India</w:t>
      </w:r>
    </w:p>
    <w:p w:rsidR="00AD6E60" w:rsidRPr="002B52B4" w:rsidRDefault="00AD6E60" w:rsidP="00AD6E60">
      <w:pP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vertAlign w:val="superscript"/>
          <w:lang w:val="it-IT"/>
        </w:rPr>
        <w:t>5</w:t>
      </w:r>
      <w:r w:rsidRPr="002B52B4">
        <w:rPr>
          <w:rFonts w:asciiTheme="majorHAnsi" w:hAnsiTheme="majorHAnsi"/>
          <w:sz w:val="16"/>
          <w:szCs w:val="16"/>
          <w:shd w:val="clear" w:color="auto" w:fill="F9F9F9"/>
          <w:lang w:val="it-IT"/>
        </w:rPr>
        <w:t>Associate Professor, Department of Biochemistry, College of Medicine &amp; Sagore Dutta Hospital , Kolkatta, West Bengal, India</w:t>
      </w:r>
    </w:p>
    <w:p w:rsidR="00AD6E60" w:rsidRPr="002B52B4" w:rsidRDefault="00AD6E60" w:rsidP="00AD6E60">
      <w:pP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vertAlign w:val="superscript"/>
          <w:lang w:val="it-IT"/>
        </w:rPr>
        <w:t>6</w:t>
      </w:r>
      <w:r w:rsidRPr="002B52B4">
        <w:rPr>
          <w:rFonts w:asciiTheme="majorHAnsi" w:hAnsiTheme="majorHAnsi"/>
          <w:sz w:val="16"/>
          <w:szCs w:val="16"/>
          <w:shd w:val="clear" w:color="auto" w:fill="F9F9F9"/>
          <w:lang w:val="it-IT"/>
        </w:rPr>
        <w:t xml:space="preserve">Demonstrator, Department of Biochemistry, College of Medicine &amp; Sagore Dutta Hospital, Kolkatta, West Bengal, India </w:t>
      </w:r>
    </w:p>
    <w:p w:rsidR="00AD6E60" w:rsidRDefault="00AD6E60" w:rsidP="00AD6E60">
      <w:pPr>
        <w:pBdr>
          <w:bottom w:val="single" w:sz="6" w:space="1" w:color="auto"/>
        </w:pBdr>
        <w:spacing w:line="360" w:lineRule="auto"/>
        <w:rPr>
          <w:rFonts w:asciiTheme="majorHAnsi" w:hAnsiTheme="majorHAnsi"/>
          <w:sz w:val="16"/>
          <w:szCs w:val="16"/>
          <w:shd w:val="clear" w:color="auto" w:fill="F9F9F9"/>
          <w:lang w:val="it-IT"/>
        </w:rPr>
      </w:pPr>
      <w:r w:rsidRPr="002B52B4">
        <w:rPr>
          <w:rFonts w:asciiTheme="majorHAnsi" w:hAnsiTheme="majorHAnsi"/>
          <w:sz w:val="16"/>
          <w:szCs w:val="16"/>
          <w:shd w:val="clear" w:color="auto" w:fill="F9F9F9"/>
          <w:lang w:val="it-IT"/>
        </w:rPr>
        <w:t>*Corresponding Author : Dr Soma Gupta</w:t>
      </w:r>
    </w:p>
    <w:p w:rsidR="00AD6E60" w:rsidRPr="00BD6DCD" w:rsidRDefault="00AD6E60" w:rsidP="00AD6E60">
      <w:pPr>
        <w:pBdr>
          <w:bottom w:val="single" w:sz="6" w:space="1" w:color="auto"/>
        </w:pBdr>
        <w:spacing w:line="360" w:lineRule="auto"/>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Date of submission: 18</w:t>
      </w:r>
      <w:r w:rsidRPr="00CF0D1F">
        <w:rPr>
          <w:rFonts w:asciiTheme="majorHAnsi" w:hAnsiTheme="majorHAnsi"/>
          <w:color w:val="000000"/>
          <w:sz w:val="18"/>
          <w:szCs w:val="18"/>
          <w:shd w:val="clear" w:color="auto" w:fill="FFFFFF"/>
        </w:rPr>
        <w:t xml:space="preserve"> May </w:t>
      </w:r>
      <w:proofErr w:type="gramStart"/>
      <w:r w:rsidRPr="00CF0D1F">
        <w:rPr>
          <w:rFonts w:asciiTheme="majorHAnsi" w:hAnsiTheme="majorHAnsi"/>
          <w:color w:val="000000"/>
          <w:sz w:val="18"/>
          <w:szCs w:val="18"/>
          <w:shd w:val="clear" w:color="auto" w:fill="FFFFFF"/>
        </w:rPr>
        <w:t>2014 ;</w:t>
      </w:r>
      <w:proofErr w:type="gramEnd"/>
      <w:r w:rsidRPr="00CF0D1F">
        <w:rPr>
          <w:rFonts w:asciiTheme="majorHAnsi" w:hAnsiTheme="majorHAnsi"/>
          <w:color w:val="000000"/>
          <w:sz w:val="18"/>
          <w:szCs w:val="18"/>
          <w:shd w:val="clear" w:color="auto" w:fill="FFFFFF"/>
        </w:rPr>
        <w:t xml:space="preserve"> Date of Publication: 15 September 2014</w:t>
      </w:r>
    </w:p>
    <w:p w:rsidR="00AD6E60" w:rsidRPr="002B52B4" w:rsidRDefault="00AD6E60" w:rsidP="00AD6E60">
      <w:pPr>
        <w:spacing w:line="360" w:lineRule="auto"/>
        <w:rPr>
          <w:rFonts w:asciiTheme="majorHAnsi" w:hAnsiTheme="majorHAnsi"/>
          <w:sz w:val="16"/>
          <w:szCs w:val="16"/>
          <w:shd w:val="clear" w:color="auto" w:fill="F9F9F9"/>
          <w:lang w:val="it-IT"/>
        </w:rPr>
      </w:pPr>
    </w:p>
    <w:p w:rsidR="00AD6E60" w:rsidRPr="002B52B4" w:rsidRDefault="00AD6E60" w:rsidP="00AD6E60">
      <w:pPr>
        <w:spacing w:line="360" w:lineRule="auto"/>
        <w:rPr>
          <w:b/>
          <w:bCs/>
          <w:sz w:val="20"/>
          <w:szCs w:val="20"/>
          <w:shd w:val="clear" w:color="auto" w:fill="F9F9F9"/>
        </w:rPr>
      </w:pPr>
      <w:r w:rsidRPr="002B52B4">
        <w:rPr>
          <w:b/>
          <w:bCs/>
          <w:sz w:val="20"/>
          <w:szCs w:val="20"/>
          <w:shd w:val="clear" w:color="auto" w:fill="F9F9F9"/>
        </w:rPr>
        <w:t>Abstract</w:t>
      </w:r>
    </w:p>
    <w:p w:rsidR="00AD6E60" w:rsidRPr="002B52B4" w:rsidRDefault="00AD6E60" w:rsidP="00AD6E60">
      <w:pPr>
        <w:spacing w:line="360" w:lineRule="auto"/>
        <w:jc w:val="both"/>
        <w:rPr>
          <w:sz w:val="18"/>
          <w:szCs w:val="18"/>
          <w:shd w:val="clear" w:color="auto" w:fill="F9F9F9"/>
        </w:rPr>
      </w:pPr>
      <w:r w:rsidRPr="002B52B4">
        <w:rPr>
          <w:b/>
          <w:sz w:val="18"/>
          <w:szCs w:val="18"/>
          <w:shd w:val="clear" w:color="auto" w:fill="F9F9F9"/>
        </w:rPr>
        <w:t>Introduction</w:t>
      </w:r>
      <w:r w:rsidRPr="002B52B4">
        <w:rPr>
          <w:sz w:val="18"/>
          <w:szCs w:val="18"/>
          <w:shd w:val="clear" w:color="auto" w:fill="F9F9F9"/>
        </w:rPr>
        <w:t>: Total Antioxidant Capacity (TAC) is an important parameter and is a better alternative as all the antioxidants present in plasma need not to be measured separately.</w:t>
      </w:r>
    </w:p>
    <w:p w:rsidR="00AD6E60" w:rsidRPr="002B52B4" w:rsidRDefault="00AD6E60" w:rsidP="00AD6E60">
      <w:pPr>
        <w:spacing w:line="360" w:lineRule="auto"/>
        <w:jc w:val="both"/>
        <w:rPr>
          <w:sz w:val="18"/>
          <w:szCs w:val="18"/>
          <w:shd w:val="clear" w:color="auto" w:fill="F9F9F9"/>
        </w:rPr>
      </w:pPr>
      <w:r w:rsidRPr="002B52B4">
        <w:rPr>
          <w:b/>
          <w:sz w:val="18"/>
          <w:szCs w:val="18"/>
          <w:shd w:val="clear" w:color="auto" w:fill="F9F9F9"/>
        </w:rPr>
        <w:t>Method</w:t>
      </w:r>
      <w:r w:rsidRPr="002B52B4">
        <w:rPr>
          <w:sz w:val="18"/>
          <w:szCs w:val="18"/>
          <w:shd w:val="clear" w:color="auto" w:fill="F9F9F9"/>
        </w:rPr>
        <w:t>: Blood was collected from 150 healthy volunteers to establish reference limit. TAC is measured by Ferric Reducing Antioxidant Power (FRAP) method, which is based on the principle that antioxidants present in the plasma reduce Fe</w:t>
      </w:r>
      <w:r w:rsidRPr="002B52B4">
        <w:rPr>
          <w:sz w:val="18"/>
          <w:szCs w:val="18"/>
          <w:shd w:val="clear" w:color="auto" w:fill="F9F9F9"/>
          <w:vertAlign w:val="superscript"/>
        </w:rPr>
        <w:t xml:space="preserve">+++ </w:t>
      </w:r>
      <w:r w:rsidRPr="002B52B4">
        <w:rPr>
          <w:sz w:val="18"/>
          <w:szCs w:val="18"/>
          <w:shd w:val="clear" w:color="auto" w:fill="F9F9F9"/>
        </w:rPr>
        <w:t>TPTZ complex to Fe</w:t>
      </w:r>
      <w:r w:rsidRPr="002B52B4">
        <w:rPr>
          <w:sz w:val="18"/>
          <w:szCs w:val="18"/>
          <w:shd w:val="clear" w:color="auto" w:fill="F9F9F9"/>
          <w:vertAlign w:val="superscript"/>
        </w:rPr>
        <w:t xml:space="preserve">++ </w:t>
      </w:r>
      <w:r w:rsidRPr="002B52B4">
        <w:rPr>
          <w:sz w:val="18"/>
          <w:szCs w:val="18"/>
          <w:shd w:val="clear" w:color="auto" w:fill="F9F9F9"/>
        </w:rPr>
        <w:t xml:space="preserve">TPTZ a blue </w:t>
      </w:r>
      <w:proofErr w:type="spellStart"/>
      <w:r w:rsidRPr="002B52B4">
        <w:rPr>
          <w:sz w:val="18"/>
          <w:szCs w:val="18"/>
          <w:shd w:val="clear" w:color="auto" w:fill="F9F9F9"/>
        </w:rPr>
        <w:t>coloured</w:t>
      </w:r>
      <w:proofErr w:type="spellEnd"/>
      <w:r w:rsidRPr="002B52B4">
        <w:rPr>
          <w:sz w:val="18"/>
          <w:szCs w:val="18"/>
          <w:shd w:val="clear" w:color="auto" w:fill="F9F9F9"/>
        </w:rPr>
        <w:t xml:space="preserve"> complex, the change in absorbance directly reflects the TAC of plasma. The absorbance is measured at 630nm, slightly modified from the original method, so that it can be measured in a semi-auto analyzer.</w:t>
      </w:r>
    </w:p>
    <w:p w:rsidR="00AD6E60" w:rsidRPr="002B52B4" w:rsidRDefault="00AD6E60" w:rsidP="00AD6E60">
      <w:pPr>
        <w:spacing w:line="360" w:lineRule="auto"/>
        <w:jc w:val="both"/>
        <w:rPr>
          <w:sz w:val="18"/>
          <w:szCs w:val="18"/>
          <w:shd w:val="clear" w:color="auto" w:fill="F9F9F9"/>
        </w:rPr>
      </w:pPr>
      <w:r w:rsidRPr="002B52B4">
        <w:rPr>
          <w:b/>
          <w:sz w:val="18"/>
          <w:szCs w:val="18"/>
          <w:shd w:val="clear" w:color="auto" w:fill="F9F9F9"/>
        </w:rPr>
        <w:t>Observation</w:t>
      </w:r>
      <w:r w:rsidRPr="002B52B4">
        <w:rPr>
          <w:sz w:val="18"/>
          <w:szCs w:val="18"/>
          <w:shd w:val="clear" w:color="auto" w:fill="F9F9F9"/>
        </w:rPr>
        <w:t xml:space="preserve">: Mean of the study was found to be </w:t>
      </w:r>
      <w:proofErr w:type="gramStart"/>
      <w:r w:rsidRPr="002B52B4">
        <w:rPr>
          <w:sz w:val="18"/>
          <w:szCs w:val="18"/>
          <w:shd w:val="clear" w:color="auto" w:fill="F9F9F9"/>
        </w:rPr>
        <w:t xml:space="preserve">1330.18 </w:t>
      </w:r>
      <w:proofErr w:type="spellStart"/>
      <w:r w:rsidRPr="002B52B4">
        <w:rPr>
          <w:sz w:val="18"/>
          <w:szCs w:val="18"/>
          <w:shd w:val="clear" w:color="auto" w:fill="F9F9F9"/>
        </w:rPr>
        <w:t>μMole</w:t>
      </w:r>
      <w:proofErr w:type="spellEnd"/>
      <w:r w:rsidRPr="002B52B4">
        <w:rPr>
          <w:sz w:val="18"/>
          <w:szCs w:val="18"/>
          <w:shd w:val="clear" w:color="auto" w:fill="F9F9F9"/>
        </w:rPr>
        <w:t>/L with SD 253.36</w:t>
      </w:r>
      <w:proofErr w:type="gramEnd"/>
      <w:r w:rsidRPr="002B52B4">
        <w:rPr>
          <w:sz w:val="18"/>
          <w:szCs w:val="18"/>
          <w:shd w:val="clear" w:color="auto" w:fill="F9F9F9"/>
        </w:rPr>
        <w:t xml:space="preserve">. Median of TAC was 1303 </w:t>
      </w:r>
      <w:proofErr w:type="spellStart"/>
      <w:r w:rsidRPr="002B52B4">
        <w:rPr>
          <w:sz w:val="18"/>
          <w:szCs w:val="18"/>
          <w:shd w:val="clear" w:color="auto" w:fill="F9F9F9"/>
        </w:rPr>
        <w:t>μMole</w:t>
      </w:r>
      <w:proofErr w:type="spellEnd"/>
      <w:r w:rsidRPr="002B52B4">
        <w:rPr>
          <w:sz w:val="18"/>
          <w:szCs w:val="18"/>
          <w:shd w:val="clear" w:color="auto" w:fill="F9F9F9"/>
        </w:rPr>
        <w:t xml:space="preserve">/L. 95% reference limit for lower and upper case was 928.55 &amp; </w:t>
      </w:r>
      <w:proofErr w:type="gramStart"/>
      <w:r w:rsidRPr="002B52B4">
        <w:rPr>
          <w:sz w:val="18"/>
          <w:szCs w:val="18"/>
          <w:shd w:val="clear" w:color="auto" w:fill="F9F9F9"/>
        </w:rPr>
        <w:t xml:space="preserve">1802.50 </w:t>
      </w:r>
      <w:proofErr w:type="spellStart"/>
      <w:r w:rsidRPr="002B52B4">
        <w:rPr>
          <w:sz w:val="18"/>
          <w:szCs w:val="18"/>
          <w:shd w:val="clear" w:color="auto" w:fill="F9F9F9"/>
        </w:rPr>
        <w:t>μMole</w:t>
      </w:r>
      <w:proofErr w:type="spellEnd"/>
      <w:r w:rsidRPr="002B52B4">
        <w:rPr>
          <w:sz w:val="18"/>
          <w:szCs w:val="18"/>
          <w:shd w:val="clear" w:color="auto" w:fill="F9F9F9"/>
        </w:rPr>
        <w:t>/L respectively</w:t>
      </w:r>
      <w:proofErr w:type="gramEnd"/>
      <w:r w:rsidRPr="002B52B4">
        <w:rPr>
          <w:sz w:val="18"/>
          <w:szCs w:val="18"/>
          <w:shd w:val="clear" w:color="auto" w:fill="F9F9F9"/>
        </w:rPr>
        <w:t xml:space="preserve">. This method was found to be linear up to at least 2500 </w:t>
      </w:r>
      <w:proofErr w:type="spellStart"/>
      <w:r w:rsidRPr="002B52B4">
        <w:rPr>
          <w:sz w:val="18"/>
          <w:szCs w:val="18"/>
          <w:shd w:val="clear" w:color="auto" w:fill="F9F9F9"/>
        </w:rPr>
        <w:t>μMole</w:t>
      </w:r>
      <w:proofErr w:type="spellEnd"/>
      <w:r w:rsidRPr="002B52B4">
        <w:rPr>
          <w:sz w:val="18"/>
          <w:szCs w:val="18"/>
          <w:shd w:val="clear" w:color="auto" w:fill="F9F9F9"/>
        </w:rPr>
        <w:t>/L. The overall precision of the method was quite satisfactory as intra &amp; inter assay CV were 3.14% and 3.78% respectively. The plasma samples could be stored for at least 14 days in deep freeze without significant alteration. TAC level was estimated in plasma with high glucose concentration and was found to be significantly lower than normal (844.11</w:t>
      </w:r>
      <w:r w:rsidRPr="002B52B4">
        <w:rPr>
          <w:sz w:val="18"/>
          <w:szCs w:val="18"/>
          <w:u w:val="single"/>
          <w:shd w:val="clear" w:color="auto" w:fill="F9F9F9"/>
        </w:rPr>
        <w:t>+</w:t>
      </w:r>
      <w:r w:rsidRPr="002B52B4">
        <w:rPr>
          <w:sz w:val="18"/>
          <w:szCs w:val="18"/>
          <w:shd w:val="clear" w:color="auto" w:fill="F9F9F9"/>
        </w:rPr>
        <w:t xml:space="preserve"> 269.10 </w:t>
      </w:r>
      <w:proofErr w:type="spellStart"/>
      <w:r w:rsidRPr="002B52B4">
        <w:rPr>
          <w:sz w:val="18"/>
          <w:szCs w:val="18"/>
          <w:shd w:val="clear" w:color="auto" w:fill="F9F9F9"/>
        </w:rPr>
        <w:t>μmole</w:t>
      </w:r>
      <w:proofErr w:type="spellEnd"/>
      <w:r w:rsidRPr="002B52B4">
        <w:rPr>
          <w:sz w:val="18"/>
          <w:szCs w:val="18"/>
          <w:shd w:val="clear" w:color="auto" w:fill="F9F9F9"/>
        </w:rPr>
        <w:t xml:space="preserve">/L). </w:t>
      </w:r>
    </w:p>
    <w:p w:rsidR="00AD6E60" w:rsidRPr="002B52B4" w:rsidRDefault="00AD6E60" w:rsidP="00AD6E60">
      <w:pPr>
        <w:spacing w:line="360" w:lineRule="auto"/>
        <w:jc w:val="both"/>
        <w:rPr>
          <w:sz w:val="18"/>
          <w:szCs w:val="18"/>
          <w:shd w:val="clear" w:color="auto" w:fill="F9F9F9"/>
        </w:rPr>
      </w:pPr>
      <w:r w:rsidRPr="002B52B4">
        <w:rPr>
          <w:b/>
          <w:sz w:val="18"/>
          <w:szCs w:val="18"/>
          <w:shd w:val="clear" w:color="auto" w:fill="F9F9F9"/>
        </w:rPr>
        <w:t>Conclusion</w:t>
      </w:r>
      <w:r w:rsidRPr="002B52B4">
        <w:rPr>
          <w:sz w:val="18"/>
          <w:szCs w:val="18"/>
          <w:shd w:val="clear" w:color="auto" w:fill="F9F9F9"/>
        </w:rPr>
        <w:t>: FRAP is a simple, rapid and precise assay to measure TAC in plasma.</w:t>
      </w:r>
    </w:p>
    <w:p w:rsidR="00AD6E60" w:rsidRDefault="00AD6E60" w:rsidP="00AD6E60">
      <w:pPr>
        <w:pBdr>
          <w:bottom w:val="single" w:sz="6" w:space="1" w:color="auto"/>
        </w:pBdr>
        <w:spacing w:line="360" w:lineRule="auto"/>
        <w:jc w:val="both"/>
        <w:rPr>
          <w:sz w:val="18"/>
          <w:szCs w:val="18"/>
          <w:shd w:val="clear" w:color="auto" w:fill="F9F9F9"/>
        </w:rPr>
      </w:pPr>
      <w:r w:rsidRPr="002B52B4">
        <w:rPr>
          <w:sz w:val="18"/>
          <w:szCs w:val="18"/>
          <w:shd w:val="clear" w:color="auto" w:fill="F9F9F9"/>
        </w:rPr>
        <w:t xml:space="preserve"> </w:t>
      </w:r>
      <w:r w:rsidRPr="002B52B4">
        <w:rPr>
          <w:b/>
          <w:sz w:val="18"/>
          <w:szCs w:val="18"/>
          <w:shd w:val="clear" w:color="auto" w:fill="F9F9F9"/>
        </w:rPr>
        <w:t>Keywords</w:t>
      </w:r>
      <w:r w:rsidRPr="002B52B4">
        <w:rPr>
          <w:sz w:val="18"/>
          <w:szCs w:val="18"/>
          <w:shd w:val="clear" w:color="auto" w:fill="F9F9F9"/>
        </w:rPr>
        <w:t>: Total Antioxidant capacity (TAC), Ferric Reducing Antioxidant Power (FRAP)</w:t>
      </w:r>
    </w:p>
    <w:p w:rsidR="00AD6E60" w:rsidRDefault="00AD6E60" w:rsidP="00AD6E60">
      <w:pPr>
        <w:spacing w:line="360" w:lineRule="auto"/>
        <w:rPr>
          <w:sz w:val="18"/>
          <w:szCs w:val="18"/>
          <w:shd w:val="clear" w:color="auto" w:fill="F9F9F9"/>
        </w:rPr>
      </w:pPr>
    </w:p>
    <w:p w:rsidR="00CF464F" w:rsidRPr="00AD6E60" w:rsidRDefault="00CF464F" w:rsidP="00AD6E60"/>
    <w:sectPr w:rsidR="00CF464F" w:rsidRPr="00AD6E60"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C39D9"/>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756"/>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250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262"/>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A7FCA"/>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6E60"/>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8C7"/>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39D9"/>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C39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2014-09-14T09:57:00Z</dcterms:created>
  <dcterms:modified xsi:type="dcterms:W3CDTF">2014-09-14T09:57:00Z</dcterms:modified>
</cp:coreProperties>
</file>